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BL_GERICHTE 720 16 102/266 vom 17. November 2003</w:t>
      </w:r>
    </w:p>
    <w:p>
      <w:r>
        <w:t>BL Gerichte, 2003-11-17, DE</w:t>
      </w:r>
    </w:p>
    <w:p>
      <w:r>
        <w:rPr>
          <w:b/>
        </w:rPr>
        <w:t xml:space="preserve">Quelle: </w:t>
      </w:r>
      <w:r>
        <w:t>https://mcp.opencaselaw.ch/entscheid/bl_gerichte_720 16 102_266</w:t>
      </w:r>
    </w:p>
    <w:p>
      <w:r>
        <w:t>FR: BL_GERICHTE 720 16 102/266 du 17 novembre 2003</w:t>
      </w:r>
    </w:p>
    <w:p>
      <w:r>
        <w:t>IT: BL_GERICHTE 720 16 102/266 del 17 novembre 2003</w:t>
      </w:r>
    </w:p>
    <w:p>
      <w:pPr>
        <w:pStyle w:val="Heading2"/>
      </w:pPr>
      <w:r>
        <w:t>Regeste</w:t>
      </w:r>
    </w:p>
    <w:p>
      <w:r>
        <w:t>Invalidenversicherung IV-Rente/Bemessung des Invalideneinkommens anhand der LSE: Ein Abstellen auf Tabelle TA7 der LSE 2010 ist vorliegend nicht zu beanstanden/Prüfung der Frage, von welchem Anforderungsniveau auszugehen ist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in der Höhe von Fr. 600.-- werden dem Beschwerdeführer auferlegt und mit dem geleisteten Kostenvorschuss in der Höhe von Fr. 600.-- verrechnet.</w:t>
      </w:r>
    </w:p>
    <w:p>
      <w:r>
        <w:rPr>
          <w:b/>
        </w:rPr>
        <w:t>E. 3</w:t>
      </w:r>
    </w:p>
    <w:p>
      <w:r>
        <w:t>Die ausserordentlichen Kosten werden wettgeschlagen. Gegen diesen Entscheid erhob der Beschwerdeführer am 15. Dezember 2016 Beschwerde beim Bundesgericht (siehe nach Vorliegen des Urteils: Verfahren-Nr. 9C_852/2016).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